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F037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ZWEITER TEIL</w:t>
      </w:r>
    </w:p>
    <w:p w14:paraId="2EB06677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PHÄNOMENOLOGIE ALS VORTHEORETISCHE</w:t>
      </w:r>
    </w:p>
    <w:p w14:paraId="4057C011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URWISSENSCHAFT</w:t>
      </w:r>
    </w:p>
    <w:p w14:paraId="0170280B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ERSTES KAPITEL</w:t>
      </w:r>
    </w:p>
    <w:p w14:paraId="46BCD5A2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Analyse der Erlebnisstruktur</w:t>
      </w:r>
    </w:p>
    <w:p w14:paraId="555C8510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§13. Das Frageerlebnis: Gibt es etwas?</w:t>
      </w:r>
    </w:p>
    <w:p w14:paraId="7187272F" w14:textId="77777777" w:rsidR="0031582F" w:rsidRPr="00AA2866" w:rsidRDefault="0031582F" w:rsidP="00544339">
      <w:pPr>
        <w:rPr>
          <w:rFonts w:ascii="Calibri" w:hAnsi="Calibri" w:cs="Calibri"/>
          <w:lang w:val="de-DE"/>
        </w:rPr>
      </w:pPr>
    </w:p>
    <w:p w14:paraId="59699A9E" w14:textId="3928E933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Schon in dem Frage-ansatz »Gibt es . . . ? « gibt es etwas. Unsere</w:t>
      </w:r>
    </w:p>
    <w:p w14:paraId="435D7724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ganze Problematik ist an eine entscheidende Stelle gekommen,</w:t>
      </w:r>
    </w:p>
    <w:p w14:paraId="73B06E73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 xml:space="preserve">die in ihrer </w:t>
      </w:r>
      <w:proofErr w:type="spellStart"/>
      <w:r w:rsidRPr="00AA2866">
        <w:rPr>
          <w:rFonts w:ascii="Calibri" w:hAnsi="Calibri" w:cs="Calibri"/>
          <w:lang w:val="de-DE"/>
        </w:rPr>
        <w:t>Kümmerlichkeit</w:t>
      </w:r>
      <w:proofErr w:type="spellEnd"/>
      <w:r w:rsidRPr="00AA2866">
        <w:rPr>
          <w:rFonts w:ascii="Calibri" w:hAnsi="Calibri" w:cs="Calibri"/>
          <w:lang w:val="de-DE"/>
        </w:rPr>
        <w:t xml:space="preserve"> gar nicht diesen Anschein macht.</w:t>
      </w:r>
    </w:p>
    <w:p w14:paraId="528A31D4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 xml:space="preserve">Alles hängt davon ab, </w:t>
      </w:r>
      <w:proofErr w:type="spellStart"/>
      <w:r w:rsidRPr="00AA2866">
        <w:rPr>
          <w:rFonts w:ascii="Calibri" w:hAnsi="Calibri" w:cs="Calibri"/>
          <w:lang w:val="de-DE"/>
        </w:rPr>
        <w:t>daß</w:t>
      </w:r>
      <w:proofErr w:type="spellEnd"/>
      <w:r w:rsidRPr="00AA2866">
        <w:rPr>
          <w:rFonts w:ascii="Calibri" w:hAnsi="Calibri" w:cs="Calibri"/>
          <w:lang w:val="de-DE"/>
        </w:rPr>
        <w:t xml:space="preserve"> wir diese </w:t>
      </w:r>
      <w:proofErr w:type="spellStart"/>
      <w:r w:rsidRPr="00AA2866">
        <w:rPr>
          <w:rFonts w:ascii="Calibri" w:hAnsi="Calibri" w:cs="Calibri"/>
          <w:lang w:val="de-DE"/>
        </w:rPr>
        <w:t>Kümmerlichkeit</w:t>
      </w:r>
      <w:proofErr w:type="spellEnd"/>
      <w:r w:rsidRPr="00AA2866">
        <w:rPr>
          <w:rFonts w:ascii="Calibri" w:hAnsi="Calibri" w:cs="Calibri"/>
          <w:lang w:val="de-DE"/>
        </w:rPr>
        <w:t xml:space="preserve"> in ihrem</w:t>
      </w:r>
    </w:p>
    <w:p w14:paraId="1AA67C31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 xml:space="preserve">puren Sinn verstehen, </w:t>
      </w:r>
      <w:proofErr w:type="spellStart"/>
      <w:r w:rsidRPr="00AA2866">
        <w:rPr>
          <w:rFonts w:ascii="Calibri" w:hAnsi="Calibri" w:cs="Calibri"/>
          <w:lang w:val="de-DE"/>
        </w:rPr>
        <w:t>daß</w:t>
      </w:r>
      <w:proofErr w:type="spellEnd"/>
      <w:r w:rsidRPr="00AA2866">
        <w:rPr>
          <w:rFonts w:ascii="Calibri" w:hAnsi="Calibri" w:cs="Calibri"/>
          <w:lang w:val="de-DE"/>
        </w:rPr>
        <w:t xml:space="preserve"> wir dem Sinn dieser </w:t>
      </w:r>
      <w:proofErr w:type="spellStart"/>
      <w:r w:rsidRPr="00AA2866">
        <w:rPr>
          <w:rFonts w:ascii="Calibri" w:hAnsi="Calibri" w:cs="Calibri"/>
          <w:lang w:val="de-DE"/>
        </w:rPr>
        <w:t>Kümmerlichkeit</w:t>
      </w:r>
      <w:proofErr w:type="spellEnd"/>
    </w:p>
    <w:p w14:paraId="7FF72609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verstehend folgen und bei ihr verharren, nicht mehr zurückdenken</w:t>
      </w:r>
    </w:p>
    <w:p w14:paraId="477B16FD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 xml:space="preserve">an teleologische Methode, </w:t>
      </w:r>
      <w:proofErr w:type="spellStart"/>
      <w:r w:rsidRPr="00AA2866">
        <w:rPr>
          <w:rFonts w:ascii="Calibri" w:hAnsi="Calibri" w:cs="Calibri"/>
          <w:lang w:val="de-DE"/>
        </w:rPr>
        <w:t>Idealgebung</w:t>
      </w:r>
      <w:proofErr w:type="spellEnd"/>
      <w:r w:rsidRPr="00AA2866">
        <w:rPr>
          <w:rFonts w:ascii="Calibri" w:hAnsi="Calibri" w:cs="Calibri"/>
          <w:lang w:val="de-DE"/>
        </w:rPr>
        <w:t xml:space="preserve">, </w:t>
      </w:r>
      <w:proofErr w:type="spellStart"/>
      <w:r w:rsidRPr="00AA2866">
        <w:rPr>
          <w:rFonts w:ascii="Calibri" w:hAnsi="Calibri" w:cs="Calibri"/>
          <w:lang w:val="de-DE"/>
        </w:rPr>
        <w:t>Materialgebung</w:t>
      </w:r>
      <w:proofErr w:type="spellEnd"/>
      <w:r w:rsidRPr="00AA2866">
        <w:rPr>
          <w:rFonts w:ascii="Calibri" w:hAnsi="Calibri" w:cs="Calibri"/>
          <w:lang w:val="de-DE"/>
        </w:rPr>
        <w:t>,</w:t>
      </w:r>
    </w:p>
    <w:p w14:paraId="582DBB28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psychischen Gesamtzusammenhang, Sachbereich, ja</w:t>
      </w:r>
    </w:p>
    <w:p w14:paraId="6D71BFCD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nicht einmal und noch weniger an die Idee der Urwissenschaft,</w:t>
      </w:r>
    </w:p>
    <w:p w14:paraId="3FD8063F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der urwissenschaftlichen Methode. Wir stehen an der methodischen</w:t>
      </w:r>
    </w:p>
    <w:p w14:paraId="5D747295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Wegkreuzung, die über Leben oder Tod der Philosophie</w:t>
      </w:r>
    </w:p>
    <w:p w14:paraId="575C93D9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überhaupt entscheidet, an einem Abgrund: entweder ins Nichts,</w:t>
      </w:r>
    </w:p>
    <w:p w14:paraId="15A0BDE2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d. h. der absoluten Sachlichkeit, oder es gelingt der Sprung in</w:t>
      </w:r>
    </w:p>
    <w:p w14:paraId="458491B0" w14:textId="52A1369B" w:rsidR="0016272A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eine andere Welt, oder genauer: überhaupt erst in die Welt.</w:t>
      </w:r>
    </w:p>
    <w:p w14:paraId="0282E2E0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</w:p>
    <w:p w14:paraId="11BA16FA" w14:textId="73F4999B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(….)</w:t>
      </w:r>
    </w:p>
    <w:p w14:paraId="1D4B98C2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</w:p>
    <w:p w14:paraId="60DB6BA1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Was heißt: »es gibt«?</w:t>
      </w:r>
    </w:p>
    <w:p w14:paraId="5CBCDD72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Es gibt Zahlen, es gibt Dreiecke, es gibt Bilder von Rembrandt,</w:t>
      </w:r>
    </w:p>
    <w:p w14:paraId="54885613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es gibt U-Boote; ich sage: Es gibt heute noch Regen, es</w:t>
      </w:r>
    </w:p>
    <w:p w14:paraId="0D5AF3D1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gibt morgen Kalbsbraten. Mannigfache »es gibt«, und jeweils</w:t>
      </w:r>
    </w:p>
    <w:p w14:paraId="75485564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lastRenderedPageBreak/>
        <w:t>hat es einen anderen Sinn und doch auch jedes wieder ein in</w:t>
      </w:r>
    </w:p>
    <w:p w14:paraId="7300CD91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 xml:space="preserve">jedem </w:t>
      </w:r>
      <w:proofErr w:type="spellStart"/>
      <w:r w:rsidRPr="00AA2866">
        <w:rPr>
          <w:rFonts w:ascii="Calibri" w:hAnsi="Calibri" w:cs="Calibri"/>
          <w:lang w:val="de-DE"/>
        </w:rPr>
        <w:t>antreffbares</w:t>
      </w:r>
      <w:proofErr w:type="spellEnd"/>
      <w:r w:rsidRPr="00AA2866">
        <w:rPr>
          <w:rFonts w:ascii="Calibri" w:hAnsi="Calibri" w:cs="Calibri"/>
          <w:lang w:val="de-DE"/>
        </w:rPr>
        <w:t xml:space="preserve"> identisches Bedeutungsmoment. Auch dieses</w:t>
      </w:r>
    </w:p>
    <w:p w14:paraId="00DB37C7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 xml:space="preserve">ganz </w:t>
      </w:r>
      <w:proofErr w:type="spellStart"/>
      <w:r w:rsidRPr="00AA2866">
        <w:rPr>
          <w:rFonts w:ascii="Calibri" w:hAnsi="Calibri" w:cs="Calibri"/>
          <w:lang w:val="de-DE"/>
        </w:rPr>
        <w:t>abgeblaßte</w:t>
      </w:r>
      <w:proofErr w:type="spellEnd"/>
      <w:r w:rsidRPr="00AA2866">
        <w:rPr>
          <w:rFonts w:ascii="Calibri" w:hAnsi="Calibri" w:cs="Calibri"/>
          <w:lang w:val="de-DE"/>
        </w:rPr>
        <w:t>, bestimmter Bedeutungen gleichsam entleerte</w:t>
      </w:r>
    </w:p>
    <w:p w14:paraId="74F789C2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bloße »es gibt« hat gerade wegen seiner Einfachheit</w:t>
      </w:r>
    </w:p>
    <w:p w14:paraId="576CC7B8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seine mannigfachen Rätsel. Wo liegt das sinnhafte Motiv für</w:t>
      </w:r>
    </w:p>
    <w:p w14:paraId="0336C6F9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den Sinn des »es gibt«? Erneut weist ein neuer Sinnbestandteil</w:t>
      </w:r>
    </w:p>
    <w:p w14:paraId="677BEBDD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nicht nur das Fragen als solches, sondern dieser sein Gehalt</w:t>
      </w:r>
    </w:p>
    <w:p w14:paraId="181459FA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(es-geben) über sich hinaus.</w:t>
      </w:r>
    </w:p>
    <w:p w14:paraId="5FCC8A62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Weiter: Es wird gefragt, ob es etwas gibt. Nicht ist gefragt,</w:t>
      </w:r>
    </w:p>
    <w:p w14:paraId="21FC525C" w14:textId="603D1778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 xml:space="preserve">ob es Stühle oder Tische gibt, ob Häuser oder Bäume, ob Sonaten von Mozart oder </w:t>
      </w:r>
      <w:r w:rsidRPr="00AA2866">
        <w:rPr>
          <w:rFonts w:ascii="Calibri" w:hAnsi="Calibri" w:cs="Calibri"/>
          <w:lang w:val="de-DE"/>
        </w:rPr>
        <w:br/>
      </w:r>
      <w:r w:rsidRPr="00AA2866">
        <w:rPr>
          <w:rFonts w:ascii="Calibri" w:hAnsi="Calibri" w:cs="Calibri"/>
          <w:lang w:val="de-DE"/>
        </w:rPr>
        <w:br/>
        <w:t>religiöse Mächte, sondern ob es etwas</w:t>
      </w:r>
    </w:p>
    <w:p w14:paraId="67F04C84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überhaupt gibt. Was besagt: etwas überhaupt? Ein ganz Allgemeines,</w:t>
      </w:r>
    </w:p>
    <w:p w14:paraId="08B44D88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das Allgemeinste, möchte man sagen, das, was jedem</w:t>
      </w:r>
    </w:p>
    <w:p w14:paraId="080F0B43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 xml:space="preserve">möglichen Gegenstand überhaupt zukommt. Es </w:t>
      </w:r>
      <w:proofErr w:type="spellStart"/>
      <w:r w:rsidRPr="00AA2866">
        <w:rPr>
          <w:rFonts w:ascii="Calibri" w:hAnsi="Calibri" w:cs="Calibri"/>
          <w:lang w:val="de-DE"/>
        </w:rPr>
        <w:t>läßt</w:t>
      </w:r>
      <w:proofErr w:type="spellEnd"/>
      <w:r w:rsidRPr="00AA2866">
        <w:rPr>
          <w:rFonts w:ascii="Calibri" w:hAnsi="Calibri" w:cs="Calibri"/>
          <w:lang w:val="de-DE"/>
        </w:rPr>
        <w:t xml:space="preserve"> sich</w:t>
      </w:r>
    </w:p>
    <w:p w14:paraId="442FCD4D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von ihm sagen, es ist etwas — und wenn ich das sage, sage ich</w:t>
      </w:r>
    </w:p>
    <w:p w14:paraId="78E3D325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vom Gegenstand das Minimum von Aussagbarkeit aus. Ich</w:t>
      </w:r>
    </w:p>
    <w:p w14:paraId="6630D429" w14:textId="572819EB" w:rsidR="00544339" w:rsidRPr="00AA2866" w:rsidRDefault="00544339" w:rsidP="00544339">
      <w:pPr>
        <w:rPr>
          <w:rFonts w:ascii="Calibri" w:hAnsi="Calibri" w:cs="Calibri"/>
          <w:lang w:val="de-DE"/>
        </w:rPr>
      </w:pPr>
      <w:r w:rsidRPr="00AA2866">
        <w:rPr>
          <w:rFonts w:ascii="Calibri" w:hAnsi="Calibri" w:cs="Calibri"/>
          <w:lang w:val="de-DE"/>
        </w:rPr>
        <w:t>stehe voraussetzungslos ihm gegenüber.</w:t>
      </w:r>
    </w:p>
    <w:p w14:paraId="3BFEC588" w14:textId="77777777" w:rsidR="00544339" w:rsidRPr="00AA2866" w:rsidRDefault="00544339" w:rsidP="00544339">
      <w:pPr>
        <w:rPr>
          <w:rFonts w:ascii="Calibri" w:hAnsi="Calibri" w:cs="Calibri"/>
          <w:lang w:val="de-DE"/>
        </w:rPr>
      </w:pPr>
    </w:p>
    <w:sectPr w:rsidR="00544339" w:rsidRPr="00AA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39"/>
    <w:rsid w:val="0016272A"/>
    <w:rsid w:val="0026181F"/>
    <w:rsid w:val="0031582F"/>
    <w:rsid w:val="00544339"/>
    <w:rsid w:val="00AA2866"/>
    <w:rsid w:val="00B016D4"/>
    <w:rsid w:val="00C472EC"/>
    <w:rsid w:val="00C73BC0"/>
    <w:rsid w:val="00E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D657"/>
  <w15:chartTrackingRefBased/>
  <w15:docId w15:val="{D5DFEC3F-E01C-4846-B05C-F083802D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4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4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4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4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4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4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4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4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4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4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4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43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43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43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43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43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43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4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4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4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43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43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43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4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43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4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Bolhuis</dc:creator>
  <cp:keywords/>
  <dc:description/>
  <cp:lastModifiedBy>Petra Bolhuis</cp:lastModifiedBy>
  <cp:revision>2</cp:revision>
  <cp:lastPrinted>2024-10-19T16:14:00Z</cp:lastPrinted>
  <dcterms:created xsi:type="dcterms:W3CDTF">2024-10-04T14:58:00Z</dcterms:created>
  <dcterms:modified xsi:type="dcterms:W3CDTF">2024-10-19T16:14:00Z</dcterms:modified>
</cp:coreProperties>
</file>